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0</wp:posOffset>
            </wp:positionV>
            <wp:extent cx="661457" cy="49609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57" cy="4960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hAnsi="Helvetica"/>
          <w:b w:val="1"/>
          <w:bCs w:val="1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hAnsi="Helvetica"/>
          <w:b w:val="1"/>
          <w:bCs w:val="1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Data Protection &amp; GDPR Policy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Sawbridgeworth Evangelical Congregational Church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Charity No. 1201704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Purpose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This policy sets out how the Church complies with the UK General Data Protection Regulation (UK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GDPR) and the Data Protection Act 2018. Trustees act as Data Controllers for the purposes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charity administration.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it-IT"/>
          <w14:textFill>
            <w14:solidFill>
              <w14:srgbClr w14:val="000000"/>
            </w14:solidFill>
          </w14:textFill>
        </w:rPr>
        <w:t>2. Scope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This policy applies to trustees, employees, volunteers, contractors and any person processing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personal data on behalf of the Church.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3. Data Protection Principles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Church will ensure personal data is: (1) processed lawfully, fairly and transparently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by ensuring that, wherever possible, all Ministries, volunteers and employees utilise Churchsuite to process data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; (2)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collected for specified legitimate purposes; (3) adequate, relevant and limited; (4) accurate and kept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up to date; (5) retained only as long as necessary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, with appropriate timescales agreed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; (6) processed securely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, via Churchsuite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4. Lawful Bases for Processing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Church relies on lawful bases including legitimate interests, consent, legal obligation,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contractual necessity and, where applicable, processing by not-for-profit bodies with religious aims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under Article 9(2)(d).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 This is achieved via Churchsuite.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5. Categories of Data Held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Data may include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embership records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- Name, Address, DOB, phone number, Declaration of Faith, Constitution Agreement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- all stored either on Churchsuite or paper copies archived in the church loft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Minutes recorded using initials, rather than full names, wherever possible/applicable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C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ontact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and volunteer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details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- retained on Churchsuite, includes names, addresses, phone numbers, family 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members, where relevant, and other details, where relevant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P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s-ES_tradnl"/>
          <w14:textFill>
            <w14:solidFill>
              <w14:srgbClr w14:val="000000"/>
            </w14:solidFill>
          </w14:textFill>
        </w:rPr>
        <w:t>astoral records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- marriages, deaths, baptisms and dedications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E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mployment records (e.g records of ID viewed),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and event attendance information.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(*Note that DBS checks will be taken prior to employment and an offer made subject to enhanced DBS checks and two relevant and up-to-date references.)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6. Data Security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The Church will implement appropriate technical and organisational measures including password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protection, restricted access, secure storage of paper records and controlled access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safeguarding files.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 This will be done via Churchsuite and using the OneDrive, with restricted access.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18"/>
          <w:szCs w:val="18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nl-NL"/>
          <w14:textFill>
            <w14:solidFill>
              <w14:srgbClr w14:val="000000"/>
            </w14:solidFill>
          </w14:textFill>
        </w:rPr>
        <w:t>7. Data Sharing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Personal data will not be shared with third parties unless lawful and necessary. Data sharing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agreements will be used where appropriate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(e.g. see Safeguarding Policy)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8. Data Retention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Data will be retained only for as long as necessary for legitimate church purposes or legal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requirements. A retention schedule will be maintained by Trustees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for historical records.  Historical archives will be maintained by the church, where appropriate and with permission from Members, who can opt out at any time.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9. Individual Rights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Individuals have rights including access, rectification, erasure (where applicable), restriction,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objection and data portability. Requests must be responded to within one month.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10. Data Breach Procedure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Any actual or suspected data breach must be reported immediately to a Trustee. Trustees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assess whether the breach must be reported to the Information Commissioner</w:t>
      </w:r>
      <w:r>
        <w:rPr>
          <w:rFonts w:ascii="Helvetica" w:hAnsi="Helvetica" w:hint="default"/>
          <w:outline w:val="0"/>
          <w:color w:val="000000"/>
          <w:sz w:val="20"/>
          <w:szCs w:val="2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s Office (ICO) within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72 hours.</w:t>
      </w: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11. Responsibilities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Trustees are responsible for oversight of data protection compliance. Staff and volunteers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follow this policy and report concerns promptly.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12. Monitoring &amp; Review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0"/>
          <w:szCs w:val="20"/>
          <w:rtl w:val="0"/>
          <w:lang w:val="en-US"/>
          <w14:textFill>
            <w14:solidFill>
              <w14:srgbClr w14:val="000000"/>
            </w14:solidFill>
          </w14:textFill>
        </w:rPr>
        <w:t>This policy will be reviewed annually or following changes in data protection legislation.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Version Control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6"/>
        <w:gridCol w:w="1926"/>
        <w:gridCol w:w="1926"/>
        <w:gridCol w:w="1926"/>
        <w:gridCol w:w="1926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Version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Date Adopted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Adopted By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Review Date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Next Review Date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1.0</w:t>
            </w:r>
          </w:p>
        </w:tc>
        <w:tc>
          <w:tcPr>
            <w:tcW w:type="dxa" w:w="19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Trustees</w:t>
            </w:r>
          </w:p>
        </w:tc>
        <w:tc>
          <w:tcPr>
            <w:tcW w:type="dxa" w:w="19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000000"/>
          <w:sz w:val="20"/>
          <w:szCs w:val="20"/>
          <w:rtl w:val="0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